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657C" w:rsidRDefault="0051657C" w:rsidP="0051657C">
      <w:pPr>
        <w:spacing w:after="0" w:line="240" w:lineRule="auto"/>
        <w:jc w:val="center"/>
        <w:rPr>
          <w:rFonts w:eastAsia="Times New Roman" w:cs="Arial"/>
          <w:sz w:val="28"/>
          <w:szCs w:val="24"/>
        </w:rPr>
      </w:pPr>
      <w:r>
        <w:rPr>
          <w:rFonts w:eastAsia="Times New Roman" w:cs="Arial"/>
          <w:sz w:val="28"/>
          <w:szCs w:val="24"/>
        </w:rPr>
        <w:t>Leading and Managing Complex Change</w:t>
      </w:r>
    </w:p>
    <w:p w:rsidR="0051657C" w:rsidRDefault="0051657C" w:rsidP="0051657C">
      <w:pPr>
        <w:spacing w:after="0" w:line="240" w:lineRule="auto"/>
        <w:jc w:val="center"/>
        <w:rPr>
          <w:rFonts w:eastAsia="Times New Roman" w:cs="Arial"/>
          <w:szCs w:val="24"/>
        </w:rPr>
      </w:pPr>
    </w:p>
    <w:p w:rsidR="0051657C" w:rsidRDefault="0051657C" w:rsidP="0051657C">
      <w:pPr>
        <w:spacing w:after="0" w:line="240" w:lineRule="auto"/>
        <w:rPr>
          <w:rFonts w:eastAsia="Times New Roman" w:cs="Arial"/>
          <w:sz w:val="22"/>
        </w:rPr>
      </w:pPr>
      <w:r>
        <w:rPr>
          <w:rFonts w:eastAsia="Times New Roman" w:cs="Arial"/>
          <w:sz w:val="22"/>
        </w:rPr>
        <w:t xml:space="preserve">Educators know that schools are a complex organism with a life of their own. To fully implement change, an understanding of the components of systemic reform requires experience, people skills, and extreme patience. </w:t>
      </w:r>
      <w:proofErr w:type="spellStart"/>
      <w:r>
        <w:rPr>
          <w:rFonts w:eastAsia="Times New Roman" w:cs="Arial"/>
          <w:sz w:val="22"/>
        </w:rPr>
        <w:t>Knoster</w:t>
      </w:r>
      <w:proofErr w:type="spellEnd"/>
      <w:r>
        <w:rPr>
          <w:rFonts w:eastAsia="Times New Roman" w:cs="Arial"/>
          <w:sz w:val="22"/>
        </w:rPr>
        <w:t xml:space="preserve"> (1991) in a presentation to The Association for Severely Handicap (TASH) Conference introduced a Managing Complex Change Model that has several components. </w:t>
      </w:r>
      <w:proofErr w:type="spellStart"/>
      <w:r>
        <w:rPr>
          <w:rFonts w:eastAsia="Times New Roman" w:cs="Arial"/>
          <w:sz w:val="22"/>
        </w:rPr>
        <w:t>Knoster</w:t>
      </w:r>
      <w:proofErr w:type="spellEnd"/>
      <w:r>
        <w:rPr>
          <w:rFonts w:eastAsia="Times New Roman" w:cs="Arial"/>
          <w:sz w:val="22"/>
        </w:rPr>
        <w:t xml:space="preserve"> suggested that when the components of vision, consensus, skills, incentives, resources and action plan are collectively inherent in the system, then change will likely take place. However, if any one of the components was missing, then the “Change Process” may be inhibited or may not take root.</w:t>
      </w:r>
    </w:p>
    <w:p w:rsidR="0051657C" w:rsidRDefault="0051657C" w:rsidP="0051657C">
      <w:pPr>
        <w:spacing w:after="0" w:line="240" w:lineRule="auto"/>
        <w:rPr>
          <w:rFonts w:eastAsia="Times New Roman" w:cs="Arial"/>
          <w:sz w:val="22"/>
        </w:rPr>
      </w:pPr>
    </w:p>
    <w:p w:rsidR="0051657C" w:rsidRDefault="0051657C" w:rsidP="0051657C">
      <w:pPr>
        <w:spacing w:after="0" w:line="240" w:lineRule="auto"/>
        <w:rPr>
          <w:rFonts w:eastAsia="Times New Roman" w:cs="Arial"/>
          <w:sz w:val="22"/>
        </w:rPr>
      </w:pPr>
      <w:r>
        <w:rPr>
          <w:rFonts w:eastAsia="Times New Roman" w:cs="Arial"/>
          <w:sz w:val="22"/>
        </w:rPr>
        <w:t xml:space="preserve">A unique feature about </w:t>
      </w:r>
      <w:proofErr w:type="spellStart"/>
      <w:r>
        <w:rPr>
          <w:rFonts w:eastAsia="Times New Roman" w:cs="Arial"/>
          <w:sz w:val="22"/>
        </w:rPr>
        <w:t>Knoster’s</w:t>
      </w:r>
      <w:proofErr w:type="spellEnd"/>
      <w:r>
        <w:rPr>
          <w:rFonts w:eastAsia="Times New Roman" w:cs="Arial"/>
          <w:sz w:val="22"/>
        </w:rPr>
        <w:t xml:space="preserve"> model for change is its surgical approach. In assessing the condition and climate of an organization, this model offers a potential remedy by identifying the symptom and then restoring the missing component (link). Quite often leaders may sense what is wrong, but do not understand how to resolve or determine the root of the problem. As an example, if the change agent senses or anticipates sabotage as a symptom from within the organization, then the ability to work through consensus through collaboration is paramount. If there is a high level of resistance, then the leader needs to identify the incentives and determine what will personally motivate an individual to change. In some schools, the problems are so severe that multiple missing links have created a hostile environment that is difficult to sort through.</w:t>
      </w:r>
    </w:p>
    <w:p w:rsidR="0051657C" w:rsidRDefault="0051657C" w:rsidP="0051657C">
      <w:pPr>
        <w:spacing w:after="0" w:line="240" w:lineRule="auto"/>
        <w:rPr>
          <w:rFonts w:eastAsia="Times New Roman" w:cs="Arial"/>
          <w:sz w:val="22"/>
        </w:rPr>
      </w:pPr>
    </w:p>
    <w:p w:rsidR="0051657C" w:rsidRDefault="0051657C" w:rsidP="0051657C">
      <w:pPr>
        <w:spacing w:after="0" w:line="240" w:lineRule="auto"/>
        <w:rPr>
          <w:rFonts w:eastAsia="Times New Roman" w:cs="Arial"/>
          <w:sz w:val="22"/>
        </w:rPr>
      </w:pPr>
      <w:r>
        <w:rPr>
          <w:rFonts w:eastAsia="Times New Roman" w:cs="Arial"/>
          <w:sz w:val="22"/>
        </w:rPr>
        <w:t>Developing this trust through relationship building may draw out the essential missing link. Then the change process may continue to develop and help the organization arrive at the desired results.</w:t>
      </w:r>
    </w:p>
    <w:p w:rsidR="0051657C" w:rsidRDefault="0051657C" w:rsidP="0051657C">
      <w:pPr>
        <w:spacing w:after="0" w:line="240" w:lineRule="auto"/>
        <w:rPr>
          <w:rFonts w:eastAsia="Times New Roman" w:cs="Arial"/>
          <w:sz w:val="22"/>
        </w:rPr>
      </w:pPr>
    </w:p>
    <w:tbl>
      <w:tblPr>
        <w:tblStyle w:val="TableGrid"/>
        <w:tblW w:w="0" w:type="dxa"/>
        <w:tblInd w:w="0" w:type="dxa"/>
        <w:tblLayout w:type="fixed"/>
        <w:tblLook w:val="04A0" w:firstRow="1" w:lastRow="0" w:firstColumn="1" w:lastColumn="0" w:noHBand="0" w:noVBand="1"/>
      </w:tblPr>
      <w:tblGrid>
        <w:gridCol w:w="1075"/>
        <w:gridCol w:w="1440"/>
        <w:gridCol w:w="990"/>
        <w:gridCol w:w="1530"/>
        <w:gridCol w:w="1440"/>
        <w:gridCol w:w="1620"/>
        <w:gridCol w:w="1800"/>
      </w:tblGrid>
      <w:tr w:rsidR="0051657C" w:rsidTr="0051657C">
        <w:tc>
          <w:tcPr>
            <w:tcW w:w="1075"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i/>
                <w:sz w:val="22"/>
              </w:rPr>
            </w:pPr>
            <w:r>
              <w:rPr>
                <w:rFonts w:eastAsia="Times New Roman" w:cs="Arial"/>
                <w:i/>
                <w:sz w:val="22"/>
              </w:rPr>
              <w:t>Vision +</w:t>
            </w:r>
          </w:p>
        </w:tc>
        <w:tc>
          <w:tcPr>
            <w:tcW w:w="144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i/>
                <w:sz w:val="22"/>
              </w:rPr>
            </w:pPr>
            <w:r>
              <w:rPr>
                <w:rFonts w:eastAsia="Times New Roman" w:cs="Arial"/>
                <w:i/>
                <w:sz w:val="22"/>
              </w:rPr>
              <w:t>Consensus +</w:t>
            </w:r>
          </w:p>
        </w:tc>
        <w:tc>
          <w:tcPr>
            <w:tcW w:w="99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i/>
                <w:sz w:val="22"/>
              </w:rPr>
            </w:pPr>
            <w:r>
              <w:rPr>
                <w:rFonts w:eastAsia="Times New Roman" w:cs="Arial"/>
                <w:i/>
                <w:sz w:val="22"/>
              </w:rPr>
              <w:t>Skills +</w:t>
            </w:r>
          </w:p>
        </w:tc>
        <w:tc>
          <w:tcPr>
            <w:tcW w:w="153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i/>
                <w:sz w:val="22"/>
              </w:rPr>
            </w:pPr>
            <w:r>
              <w:rPr>
                <w:rFonts w:eastAsia="Times New Roman" w:cs="Arial"/>
                <w:i/>
                <w:sz w:val="22"/>
              </w:rPr>
              <w:t>Incentives +</w:t>
            </w:r>
          </w:p>
        </w:tc>
        <w:tc>
          <w:tcPr>
            <w:tcW w:w="144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i/>
                <w:sz w:val="22"/>
              </w:rPr>
            </w:pPr>
            <w:r>
              <w:rPr>
                <w:rFonts w:eastAsia="Times New Roman" w:cs="Arial"/>
                <w:i/>
                <w:sz w:val="22"/>
              </w:rPr>
              <w:t>Resources +</w:t>
            </w:r>
          </w:p>
        </w:tc>
        <w:tc>
          <w:tcPr>
            <w:tcW w:w="162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i/>
                <w:sz w:val="22"/>
              </w:rPr>
            </w:pPr>
            <w:r>
              <w:rPr>
                <w:rFonts w:eastAsia="Times New Roman" w:cs="Arial"/>
                <w:i/>
                <w:sz w:val="22"/>
              </w:rPr>
              <w:t>Action Plan +</w:t>
            </w:r>
          </w:p>
        </w:tc>
        <w:tc>
          <w:tcPr>
            <w:tcW w:w="180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rPr>
                <w:rFonts w:eastAsia="Times New Roman" w:cs="Arial"/>
                <w:i/>
                <w:sz w:val="22"/>
              </w:rPr>
            </w:pPr>
            <w:r>
              <w:rPr>
                <w:rFonts w:eastAsia="Times New Roman" w:cs="Arial"/>
                <w:i/>
                <w:sz w:val="22"/>
              </w:rPr>
              <w:t>= Change</w:t>
            </w:r>
          </w:p>
        </w:tc>
      </w:tr>
      <w:tr w:rsidR="0051657C" w:rsidTr="0051657C">
        <w:tc>
          <w:tcPr>
            <w:tcW w:w="1075" w:type="dxa"/>
            <w:tcBorders>
              <w:top w:val="single" w:sz="4" w:space="0" w:color="auto"/>
              <w:left w:val="single" w:sz="4" w:space="0" w:color="auto"/>
              <w:bottom w:val="single" w:sz="4" w:space="0" w:color="auto"/>
              <w:right w:val="single" w:sz="4" w:space="0" w:color="auto"/>
            </w:tcBorders>
            <w:shd w:val="clear" w:color="auto" w:fill="E7E6E6" w:themeFill="background2"/>
          </w:tcPr>
          <w:p w:rsidR="0051657C" w:rsidRDefault="0051657C" w:rsidP="0051657C">
            <w:pPr>
              <w:spacing w:line="360" w:lineRule="auto"/>
              <w:jc w:val="center"/>
              <w:rPr>
                <w:rFonts w:eastAsia="Times New Roman" w:cs="Arial"/>
                <w:sz w:val="22"/>
              </w:rPr>
            </w:pPr>
          </w:p>
        </w:tc>
        <w:tc>
          <w:tcPr>
            <w:tcW w:w="144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sz w:val="22"/>
              </w:rPr>
            </w:pPr>
            <w:r>
              <w:rPr>
                <w:rFonts w:eastAsia="Times New Roman" w:cs="Arial"/>
                <w:sz w:val="22"/>
              </w:rPr>
              <w:t>Consensus +</w:t>
            </w:r>
          </w:p>
        </w:tc>
        <w:tc>
          <w:tcPr>
            <w:tcW w:w="99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sz w:val="22"/>
              </w:rPr>
            </w:pPr>
            <w:r>
              <w:rPr>
                <w:rFonts w:eastAsia="Times New Roman" w:cs="Arial"/>
                <w:sz w:val="22"/>
              </w:rPr>
              <w:t>Skills +</w:t>
            </w:r>
          </w:p>
        </w:tc>
        <w:tc>
          <w:tcPr>
            <w:tcW w:w="153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sz w:val="22"/>
              </w:rPr>
            </w:pPr>
            <w:r>
              <w:rPr>
                <w:rFonts w:eastAsia="Times New Roman" w:cs="Arial"/>
                <w:sz w:val="22"/>
              </w:rPr>
              <w:t>Incentives +</w:t>
            </w:r>
          </w:p>
        </w:tc>
        <w:tc>
          <w:tcPr>
            <w:tcW w:w="144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sz w:val="22"/>
              </w:rPr>
            </w:pPr>
            <w:r>
              <w:rPr>
                <w:rFonts w:eastAsia="Times New Roman" w:cs="Arial"/>
                <w:sz w:val="22"/>
              </w:rPr>
              <w:t>Resources +</w:t>
            </w:r>
          </w:p>
        </w:tc>
        <w:tc>
          <w:tcPr>
            <w:tcW w:w="162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sz w:val="22"/>
              </w:rPr>
            </w:pPr>
            <w:r>
              <w:rPr>
                <w:rFonts w:eastAsia="Times New Roman" w:cs="Arial"/>
                <w:sz w:val="22"/>
              </w:rPr>
              <w:t>Action Plan +</w:t>
            </w:r>
          </w:p>
        </w:tc>
        <w:tc>
          <w:tcPr>
            <w:tcW w:w="180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rPr>
                <w:rFonts w:eastAsia="Times New Roman" w:cs="Arial"/>
                <w:sz w:val="22"/>
              </w:rPr>
            </w:pPr>
            <w:r>
              <w:rPr>
                <w:rFonts w:eastAsia="Times New Roman" w:cs="Arial"/>
                <w:sz w:val="22"/>
              </w:rPr>
              <w:t>= Confusion</w:t>
            </w:r>
          </w:p>
        </w:tc>
      </w:tr>
      <w:tr w:rsidR="0051657C" w:rsidTr="0051657C">
        <w:tc>
          <w:tcPr>
            <w:tcW w:w="1075"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sz w:val="22"/>
              </w:rPr>
            </w:pPr>
            <w:r>
              <w:rPr>
                <w:rFonts w:eastAsia="Times New Roman" w:cs="Arial"/>
                <w:sz w:val="22"/>
              </w:rPr>
              <w:t>Vision +</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rsidR="0051657C" w:rsidRDefault="0051657C" w:rsidP="0051657C">
            <w:pPr>
              <w:spacing w:line="360" w:lineRule="auto"/>
              <w:jc w:val="center"/>
              <w:rPr>
                <w:rFonts w:eastAsia="Times New Roman" w:cs="Arial"/>
                <w:sz w:val="22"/>
              </w:rPr>
            </w:pPr>
          </w:p>
        </w:tc>
        <w:tc>
          <w:tcPr>
            <w:tcW w:w="99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sz w:val="22"/>
              </w:rPr>
            </w:pPr>
            <w:r>
              <w:rPr>
                <w:rFonts w:eastAsia="Times New Roman" w:cs="Arial"/>
                <w:sz w:val="22"/>
              </w:rPr>
              <w:t>Skills +</w:t>
            </w:r>
          </w:p>
        </w:tc>
        <w:tc>
          <w:tcPr>
            <w:tcW w:w="153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sz w:val="22"/>
              </w:rPr>
            </w:pPr>
            <w:r>
              <w:rPr>
                <w:rFonts w:eastAsia="Times New Roman" w:cs="Arial"/>
                <w:sz w:val="22"/>
              </w:rPr>
              <w:t>Incentives +</w:t>
            </w:r>
          </w:p>
        </w:tc>
        <w:tc>
          <w:tcPr>
            <w:tcW w:w="144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sz w:val="22"/>
              </w:rPr>
            </w:pPr>
            <w:r>
              <w:rPr>
                <w:rFonts w:eastAsia="Times New Roman" w:cs="Arial"/>
                <w:sz w:val="22"/>
              </w:rPr>
              <w:t>Resources +</w:t>
            </w:r>
          </w:p>
        </w:tc>
        <w:tc>
          <w:tcPr>
            <w:tcW w:w="162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sz w:val="22"/>
              </w:rPr>
            </w:pPr>
            <w:r>
              <w:rPr>
                <w:rFonts w:eastAsia="Times New Roman" w:cs="Arial"/>
                <w:sz w:val="22"/>
              </w:rPr>
              <w:t>Action Plan +</w:t>
            </w:r>
          </w:p>
        </w:tc>
        <w:tc>
          <w:tcPr>
            <w:tcW w:w="180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rPr>
                <w:rFonts w:eastAsia="Times New Roman" w:cs="Arial"/>
                <w:sz w:val="22"/>
              </w:rPr>
            </w:pPr>
            <w:r>
              <w:rPr>
                <w:rFonts w:eastAsia="Times New Roman" w:cs="Arial"/>
                <w:sz w:val="22"/>
              </w:rPr>
              <w:t>= Sabotage</w:t>
            </w:r>
          </w:p>
        </w:tc>
      </w:tr>
      <w:tr w:rsidR="0051657C" w:rsidTr="0051657C">
        <w:tc>
          <w:tcPr>
            <w:tcW w:w="1075"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sz w:val="22"/>
              </w:rPr>
            </w:pPr>
            <w:r>
              <w:rPr>
                <w:rFonts w:eastAsia="Times New Roman" w:cs="Arial"/>
                <w:sz w:val="22"/>
              </w:rPr>
              <w:t>Vision +</w:t>
            </w:r>
          </w:p>
        </w:tc>
        <w:tc>
          <w:tcPr>
            <w:tcW w:w="144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sz w:val="22"/>
              </w:rPr>
            </w:pPr>
            <w:r>
              <w:rPr>
                <w:rFonts w:eastAsia="Times New Roman" w:cs="Arial"/>
                <w:sz w:val="22"/>
              </w:rPr>
              <w:t>Consensus +</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rsidR="0051657C" w:rsidRDefault="0051657C" w:rsidP="0051657C">
            <w:pPr>
              <w:spacing w:line="360" w:lineRule="auto"/>
              <w:jc w:val="center"/>
              <w:rPr>
                <w:rFonts w:eastAsia="Times New Roman" w:cs="Arial"/>
                <w:sz w:val="22"/>
              </w:rPr>
            </w:pPr>
          </w:p>
        </w:tc>
        <w:tc>
          <w:tcPr>
            <w:tcW w:w="153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sz w:val="22"/>
              </w:rPr>
            </w:pPr>
            <w:r>
              <w:rPr>
                <w:rFonts w:eastAsia="Times New Roman" w:cs="Arial"/>
                <w:sz w:val="22"/>
              </w:rPr>
              <w:t>Incentives +</w:t>
            </w:r>
          </w:p>
        </w:tc>
        <w:tc>
          <w:tcPr>
            <w:tcW w:w="144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sz w:val="22"/>
              </w:rPr>
            </w:pPr>
            <w:r>
              <w:rPr>
                <w:rFonts w:eastAsia="Times New Roman" w:cs="Arial"/>
                <w:sz w:val="22"/>
              </w:rPr>
              <w:t>Resources +</w:t>
            </w:r>
          </w:p>
        </w:tc>
        <w:tc>
          <w:tcPr>
            <w:tcW w:w="162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sz w:val="22"/>
              </w:rPr>
            </w:pPr>
            <w:r>
              <w:rPr>
                <w:rFonts w:eastAsia="Times New Roman" w:cs="Arial"/>
                <w:sz w:val="22"/>
              </w:rPr>
              <w:t>Action Plan +</w:t>
            </w:r>
          </w:p>
        </w:tc>
        <w:tc>
          <w:tcPr>
            <w:tcW w:w="180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rPr>
                <w:rFonts w:eastAsia="Times New Roman" w:cs="Arial"/>
                <w:sz w:val="22"/>
              </w:rPr>
            </w:pPr>
            <w:r>
              <w:rPr>
                <w:rFonts w:eastAsia="Times New Roman" w:cs="Arial"/>
                <w:sz w:val="22"/>
              </w:rPr>
              <w:t>= Anxiety</w:t>
            </w:r>
          </w:p>
        </w:tc>
      </w:tr>
      <w:tr w:rsidR="0051657C" w:rsidTr="0051657C">
        <w:tc>
          <w:tcPr>
            <w:tcW w:w="1075"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sz w:val="22"/>
              </w:rPr>
            </w:pPr>
            <w:r>
              <w:rPr>
                <w:rFonts w:eastAsia="Times New Roman" w:cs="Arial"/>
                <w:sz w:val="22"/>
              </w:rPr>
              <w:t>Vision +</w:t>
            </w:r>
          </w:p>
        </w:tc>
        <w:tc>
          <w:tcPr>
            <w:tcW w:w="144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sz w:val="22"/>
              </w:rPr>
            </w:pPr>
            <w:r>
              <w:rPr>
                <w:rFonts w:eastAsia="Times New Roman" w:cs="Arial"/>
                <w:sz w:val="22"/>
              </w:rPr>
              <w:t>Consensus +</w:t>
            </w:r>
          </w:p>
        </w:tc>
        <w:tc>
          <w:tcPr>
            <w:tcW w:w="99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sz w:val="22"/>
              </w:rPr>
            </w:pPr>
            <w:r>
              <w:rPr>
                <w:rFonts w:eastAsia="Times New Roman" w:cs="Arial"/>
                <w:sz w:val="22"/>
              </w:rPr>
              <w:t>Skills +</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rsidR="0051657C" w:rsidRDefault="0051657C" w:rsidP="0051657C">
            <w:pPr>
              <w:spacing w:line="360" w:lineRule="auto"/>
              <w:jc w:val="center"/>
              <w:rPr>
                <w:rFonts w:eastAsia="Times New Roman" w:cs="Arial"/>
                <w:sz w:val="22"/>
              </w:rPr>
            </w:pPr>
          </w:p>
        </w:tc>
        <w:tc>
          <w:tcPr>
            <w:tcW w:w="144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sz w:val="22"/>
              </w:rPr>
            </w:pPr>
            <w:r>
              <w:rPr>
                <w:rFonts w:eastAsia="Times New Roman" w:cs="Arial"/>
                <w:sz w:val="22"/>
              </w:rPr>
              <w:t>Resources +</w:t>
            </w:r>
          </w:p>
        </w:tc>
        <w:tc>
          <w:tcPr>
            <w:tcW w:w="162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sz w:val="22"/>
              </w:rPr>
            </w:pPr>
            <w:r>
              <w:rPr>
                <w:rFonts w:eastAsia="Times New Roman" w:cs="Arial"/>
                <w:sz w:val="22"/>
              </w:rPr>
              <w:t>Action Plan +</w:t>
            </w:r>
          </w:p>
        </w:tc>
        <w:tc>
          <w:tcPr>
            <w:tcW w:w="180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rPr>
                <w:rFonts w:eastAsia="Times New Roman" w:cs="Arial"/>
                <w:sz w:val="22"/>
              </w:rPr>
            </w:pPr>
            <w:r>
              <w:rPr>
                <w:rFonts w:eastAsia="Times New Roman" w:cs="Arial"/>
                <w:sz w:val="22"/>
              </w:rPr>
              <w:t>= Resistance</w:t>
            </w:r>
          </w:p>
        </w:tc>
      </w:tr>
      <w:tr w:rsidR="0051657C" w:rsidTr="0051657C">
        <w:tc>
          <w:tcPr>
            <w:tcW w:w="1075"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sz w:val="22"/>
              </w:rPr>
            </w:pPr>
            <w:r>
              <w:rPr>
                <w:rFonts w:eastAsia="Times New Roman" w:cs="Arial"/>
                <w:sz w:val="22"/>
              </w:rPr>
              <w:t>Vision +</w:t>
            </w:r>
          </w:p>
        </w:tc>
        <w:tc>
          <w:tcPr>
            <w:tcW w:w="144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sz w:val="22"/>
              </w:rPr>
            </w:pPr>
            <w:r>
              <w:rPr>
                <w:rFonts w:eastAsia="Times New Roman" w:cs="Arial"/>
                <w:sz w:val="22"/>
              </w:rPr>
              <w:t>Consensus +</w:t>
            </w:r>
          </w:p>
        </w:tc>
        <w:tc>
          <w:tcPr>
            <w:tcW w:w="99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sz w:val="22"/>
              </w:rPr>
            </w:pPr>
            <w:r>
              <w:rPr>
                <w:rFonts w:eastAsia="Times New Roman" w:cs="Arial"/>
                <w:sz w:val="22"/>
              </w:rPr>
              <w:t>Skills +</w:t>
            </w:r>
          </w:p>
        </w:tc>
        <w:tc>
          <w:tcPr>
            <w:tcW w:w="153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sz w:val="22"/>
              </w:rPr>
            </w:pPr>
            <w:r>
              <w:rPr>
                <w:rFonts w:eastAsia="Times New Roman" w:cs="Arial"/>
                <w:sz w:val="22"/>
              </w:rPr>
              <w:t>Incentives +</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rsidR="0051657C" w:rsidRDefault="0051657C" w:rsidP="0051657C">
            <w:pPr>
              <w:spacing w:line="360" w:lineRule="auto"/>
              <w:jc w:val="center"/>
              <w:rPr>
                <w:sz w:val="22"/>
              </w:rPr>
            </w:pPr>
          </w:p>
        </w:tc>
        <w:tc>
          <w:tcPr>
            <w:tcW w:w="162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sz w:val="22"/>
              </w:rPr>
            </w:pPr>
            <w:r>
              <w:rPr>
                <w:rFonts w:eastAsia="Times New Roman" w:cs="Arial"/>
                <w:sz w:val="22"/>
              </w:rPr>
              <w:t>Action Plan +</w:t>
            </w:r>
          </w:p>
        </w:tc>
        <w:tc>
          <w:tcPr>
            <w:tcW w:w="180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rPr>
                <w:rFonts w:eastAsia="Times New Roman" w:cs="Arial"/>
                <w:sz w:val="22"/>
              </w:rPr>
            </w:pPr>
            <w:r>
              <w:rPr>
                <w:rFonts w:eastAsia="Times New Roman" w:cs="Arial"/>
                <w:sz w:val="22"/>
              </w:rPr>
              <w:t>= Frustration</w:t>
            </w:r>
          </w:p>
        </w:tc>
      </w:tr>
      <w:tr w:rsidR="0051657C" w:rsidTr="0051657C">
        <w:tc>
          <w:tcPr>
            <w:tcW w:w="1075"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sz w:val="22"/>
              </w:rPr>
            </w:pPr>
            <w:r>
              <w:rPr>
                <w:rFonts w:eastAsia="Times New Roman" w:cs="Arial"/>
                <w:sz w:val="22"/>
              </w:rPr>
              <w:t>Vision +</w:t>
            </w:r>
          </w:p>
        </w:tc>
        <w:tc>
          <w:tcPr>
            <w:tcW w:w="144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sz w:val="22"/>
              </w:rPr>
            </w:pPr>
            <w:r>
              <w:rPr>
                <w:rFonts w:eastAsia="Times New Roman" w:cs="Arial"/>
                <w:sz w:val="22"/>
              </w:rPr>
              <w:t>Consensus +</w:t>
            </w:r>
          </w:p>
        </w:tc>
        <w:tc>
          <w:tcPr>
            <w:tcW w:w="99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sz w:val="22"/>
              </w:rPr>
            </w:pPr>
            <w:r>
              <w:rPr>
                <w:rFonts w:eastAsia="Times New Roman" w:cs="Arial"/>
                <w:sz w:val="22"/>
              </w:rPr>
              <w:t>Skills +</w:t>
            </w:r>
          </w:p>
        </w:tc>
        <w:tc>
          <w:tcPr>
            <w:tcW w:w="153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sz w:val="22"/>
              </w:rPr>
            </w:pPr>
            <w:r>
              <w:rPr>
                <w:rFonts w:eastAsia="Times New Roman" w:cs="Arial"/>
                <w:sz w:val="22"/>
              </w:rPr>
              <w:t>Incentives +</w:t>
            </w:r>
          </w:p>
        </w:tc>
        <w:tc>
          <w:tcPr>
            <w:tcW w:w="144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jc w:val="center"/>
              <w:rPr>
                <w:rFonts w:eastAsia="Times New Roman" w:cs="Arial"/>
                <w:sz w:val="22"/>
              </w:rPr>
            </w:pPr>
            <w:r>
              <w:rPr>
                <w:rFonts w:eastAsia="Times New Roman" w:cs="Arial"/>
                <w:sz w:val="22"/>
              </w:rPr>
              <w:t>Resources +</w:t>
            </w:r>
          </w:p>
        </w:tc>
        <w:tc>
          <w:tcPr>
            <w:tcW w:w="1620" w:type="dxa"/>
            <w:tcBorders>
              <w:top w:val="single" w:sz="4" w:space="0" w:color="auto"/>
              <w:left w:val="single" w:sz="4" w:space="0" w:color="auto"/>
              <w:bottom w:val="single" w:sz="4" w:space="0" w:color="auto"/>
              <w:right w:val="single" w:sz="4" w:space="0" w:color="auto"/>
            </w:tcBorders>
            <w:shd w:val="clear" w:color="auto" w:fill="E7E6E6" w:themeFill="background2"/>
          </w:tcPr>
          <w:p w:rsidR="0051657C" w:rsidRDefault="0051657C" w:rsidP="0051657C">
            <w:pPr>
              <w:spacing w:line="360" w:lineRule="auto"/>
              <w:jc w:val="center"/>
              <w:rPr>
                <w:rFonts w:eastAsia="Times New Roman" w:cs="Arial"/>
                <w:sz w:val="22"/>
              </w:rPr>
            </w:pPr>
          </w:p>
        </w:tc>
        <w:tc>
          <w:tcPr>
            <w:tcW w:w="1800" w:type="dxa"/>
            <w:tcBorders>
              <w:top w:val="single" w:sz="4" w:space="0" w:color="auto"/>
              <w:left w:val="single" w:sz="4" w:space="0" w:color="auto"/>
              <w:bottom w:val="single" w:sz="4" w:space="0" w:color="auto"/>
              <w:right w:val="single" w:sz="4" w:space="0" w:color="auto"/>
            </w:tcBorders>
            <w:hideMark/>
          </w:tcPr>
          <w:p w:rsidR="0051657C" w:rsidRDefault="0051657C" w:rsidP="0051657C">
            <w:pPr>
              <w:spacing w:line="360" w:lineRule="auto"/>
              <w:rPr>
                <w:rFonts w:eastAsia="Times New Roman" w:cs="Arial"/>
                <w:sz w:val="22"/>
              </w:rPr>
            </w:pPr>
            <w:r>
              <w:rPr>
                <w:rFonts w:eastAsia="Times New Roman" w:cs="Arial"/>
                <w:sz w:val="22"/>
              </w:rPr>
              <w:t>= Treadmill</w:t>
            </w:r>
          </w:p>
        </w:tc>
      </w:tr>
    </w:tbl>
    <w:p w:rsidR="0051657C" w:rsidRDefault="0051657C" w:rsidP="0051657C">
      <w:pPr>
        <w:spacing w:after="0" w:line="240" w:lineRule="auto"/>
        <w:rPr>
          <w:rFonts w:eastAsia="Times New Roman" w:cs="Arial"/>
          <w:sz w:val="18"/>
        </w:rPr>
      </w:pPr>
    </w:p>
    <w:p w:rsidR="0051657C" w:rsidRDefault="0051657C" w:rsidP="0051657C">
      <w:pPr>
        <w:spacing w:after="0" w:line="240" w:lineRule="auto"/>
        <w:rPr>
          <w:rFonts w:eastAsia="Times New Roman" w:cs="Arial"/>
          <w:sz w:val="18"/>
        </w:rPr>
      </w:pPr>
      <w:r>
        <w:rPr>
          <w:rFonts w:eastAsia="Times New Roman" w:cs="Arial"/>
          <w:sz w:val="18"/>
        </w:rPr>
        <w:t xml:space="preserve">Adapted from </w:t>
      </w:r>
      <w:proofErr w:type="spellStart"/>
      <w:r>
        <w:rPr>
          <w:rFonts w:eastAsia="Times New Roman" w:cs="Arial"/>
          <w:sz w:val="18"/>
        </w:rPr>
        <w:t>Knoster</w:t>
      </w:r>
      <w:proofErr w:type="spellEnd"/>
      <w:r>
        <w:rPr>
          <w:rFonts w:eastAsia="Times New Roman" w:cs="Arial"/>
          <w:sz w:val="18"/>
        </w:rPr>
        <w:t>, T. (1991) Presentation in TASH Conference. Washington, D.C.</w:t>
      </w:r>
    </w:p>
    <w:p w:rsidR="0051657C" w:rsidRDefault="0051657C" w:rsidP="0051657C">
      <w:pPr>
        <w:spacing w:after="0" w:line="240" w:lineRule="auto"/>
        <w:rPr>
          <w:rFonts w:eastAsia="Times New Roman" w:cs="Arial"/>
          <w:sz w:val="18"/>
        </w:rPr>
      </w:pPr>
      <w:r>
        <w:rPr>
          <w:rFonts w:eastAsia="Times New Roman" w:cs="Arial"/>
          <w:sz w:val="18"/>
        </w:rPr>
        <w:t xml:space="preserve">Adapted by </w:t>
      </w:r>
      <w:proofErr w:type="spellStart"/>
      <w:r>
        <w:rPr>
          <w:rFonts w:eastAsia="Times New Roman" w:cs="Arial"/>
          <w:sz w:val="18"/>
        </w:rPr>
        <w:t>Knoster</w:t>
      </w:r>
      <w:proofErr w:type="spellEnd"/>
      <w:r>
        <w:rPr>
          <w:rFonts w:eastAsia="Times New Roman" w:cs="Arial"/>
          <w:sz w:val="18"/>
        </w:rPr>
        <w:t xml:space="preserve"> from Enterprise Group, Ltd.</w:t>
      </w:r>
    </w:p>
    <w:p w:rsidR="0051657C" w:rsidRDefault="0051657C" w:rsidP="0051657C">
      <w:pPr>
        <w:spacing w:after="0" w:line="240" w:lineRule="auto"/>
        <w:rPr>
          <w:rFonts w:eastAsia="Times New Roman" w:cs="Arial"/>
          <w:b/>
          <w:sz w:val="22"/>
        </w:rPr>
      </w:pPr>
    </w:p>
    <w:p w:rsidR="005E241F" w:rsidRDefault="005E241F">
      <w:bookmarkStart w:id="0" w:name="_GoBack"/>
      <w:bookmarkEnd w:id="0"/>
    </w:p>
    <w:sectPr w:rsidR="005E24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57C"/>
    <w:rsid w:val="0051657C"/>
    <w:rsid w:val="005E241F"/>
    <w:rsid w:val="00645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360455-6AA6-4BBA-B393-F39293B78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mic Sans MS" w:eastAsiaTheme="minorHAnsi" w:hAnsi="Comic Sans M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657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1657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7794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St. Cloud State University</Company>
  <LinksUpToDate>false</LinksUpToDate>
  <CharactersWithSpaces>2414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Heck, Teresa W.</dc:creator>
  <cp:keywords/>
  <dc:description/>
  <cp:lastModifiedBy>Heck, Teresa W.</cp:lastModifiedBy>
  <cp:revision>2</cp:revision>
  <dcterms:created xsi:type="dcterms:W3CDTF">2018-05-08T18:37:00Z</dcterms:created>
  <dcterms:modified xsi:type="dcterms:W3CDTF">2018-05-08T18:37:00Z</dcterms:modified>
</cp:coreProperties>
</file>